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Normal"/>
        <w:widowControl w:val="false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Основы понятия теории автоматического управления технологическими процессами</w:t>
      </w:r>
    </w:p>
    <w:p>
      <w:pPr>
        <w:pStyle w:val="NoSpacing"/>
        <w:ind w:hanging="0"/>
        <w:jc w:val="center"/>
        <w:rPr/>
      </w:pPr>
      <w:bookmarkStart w:id="0" w:name="_GoBack"/>
      <w:bookmarkEnd w:id="0"/>
      <w:r>
        <w:rPr/>
        <w:t>Практическое занятие</w:t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spacing w:lineRule="auto" w:line="240" w:before="0" w:after="0"/>
        <w:jc w:val="right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Специальность: </w:t>
      </w:r>
      <w:r>
        <w:rPr>
          <w:rFonts w:eastAsia="Times New Roman" w:cs="Times New Roman" w:ascii="Times New Roman" w:hAnsi="Times New Roman"/>
          <w:sz w:val="28"/>
          <w:szCs w:val="28"/>
          <w:u w:val="none"/>
        </w:rPr>
        <w:t>19.02.11 Технология продуктов питания из растительного сырья</w:t>
      </w:r>
    </w:p>
    <w:p>
      <w:pPr>
        <w:pStyle w:val="Normal"/>
        <w:spacing w:lineRule="auto" w:line="240" w:before="0" w:after="0"/>
        <w:jc w:val="right"/>
        <w:rPr>
          <w:sz w:val="28"/>
          <w:szCs w:val="28"/>
          <w:u w:val="none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ru-RU"/>
        </w:rPr>
        <w:t>ОП.01.03 Автоматизация технологических процессов</w:t>
      </w:r>
    </w:p>
    <w:p>
      <w:pPr>
        <w:pStyle w:val="Normal"/>
        <w:spacing w:lineRule="auto" w:line="240" w:before="0" w:after="0"/>
        <w:jc w:val="right"/>
        <w:rPr>
          <w:b w:val="false"/>
          <w:b w:val="false"/>
          <w:b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>Тема 2.1. Основы понятия теории автоматического управления технологическими процессами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Преподаватель: Селезнева С.В.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spacing w:lineRule="auto" w:line="259" w:before="0" w:after="160"/>
        <w:jc w:val="center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Пенза - 2022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widowControl w:val="false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Основы понятия теории автоматического управления технологическими процессами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suppressAutoHyphens w:val="true"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Цель: </w:t>
      </w:r>
      <w:r>
        <w:rPr>
          <w:rFonts w:cs="Times New Roman" w:ascii="Times New Roman" w:hAnsi="Times New Roman"/>
          <w:sz w:val="28"/>
          <w:szCs w:val="28"/>
        </w:rPr>
        <w:t>изучить основные понятия теории автоматического управления.</w:t>
      </w:r>
    </w:p>
    <w:p>
      <w:pPr>
        <w:pStyle w:val="Normal"/>
        <w:widowControl w:val="false"/>
        <w:suppressAutoHyphens w:val="true"/>
        <w:bidi w:val="0"/>
        <w:spacing w:lineRule="auto" w:line="360" w:before="0" w:after="0"/>
        <w:ind w:left="0" w:right="0" w:firstLine="737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widowControl w:val="false"/>
        <w:suppressAutoHyphens w:val="true"/>
        <w:bidi w:val="0"/>
        <w:spacing w:lineRule="auto" w:line="360" w:before="0" w:after="0"/>
        <w:ind w:left="0" w:right="0" w:firstLine="737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Краткие теоретические сведения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Любой завод, фабрику или учреждение можно рассматривать как объект управления. при этом с точки зрения автоматизации управление работой предприятия может осуществляться по приведенной на ранее обобщенной схеме. Входная информация содержится в различного рода плановых, финансовых, расходно-приходных и других документах. Они выполняют функции аналогичные функциям датчиков Д1 в системах управления например, технологическими процессами. В названных документах указывается: что, когда, кому и по какой цене предприятие должно изготовить и отправить; какие материалы, детали, узлы другие комплектующие изделия есть на складе или в какой срок будут получены предприятием; сколько рабочих мест есть на предприятии, их производительность, длительность технологического цикла изготовления изделия; чертежи, перечни необходимых материалов и комплектующих изделий и другая конструкторская документация, определяющая как должно выглядеть и работать изделие; технологическая документация, описывающая  каким образом и на каком оборудовании, с какой производительностью труда должно изготавливаться изделие; какая численность работающих на предприятии и их заработная плата; финансовое положение предприятия и др. Информацию о текущем состоянии объекта управления (предприятия) руководство получает также из разного рода рапортов, сводок, текущих отчетных документов. Информация о результатах работы предприятия (аналог сигналов с датчиков Д3) содержится также в документах: накладных, по которым готовая продукция сдается на складах;  документах, удостоверяющих качество продукции; финансовых бухгалтерских отчетных документах, в которых отражается экономическая деятельность предприятия, и т.д.</w:t>
      </w:r>
      <w:r>
        <w:rPr>
          <w:rStyle w:val="Style14"/>
          <w:rFonts w:ascii="Times New Roman" w:hAnsi="Times New Roman"/>
          <w:sz w:val="28"/>
          <w:szCs w:val="28"/>
        </w:rPr>
        <w:footnoteReference w:id="2"/>
      </w:r>
    </w:p>
    <w:p>
      <w:pPr>
        <w:pStyle w:val="Normal"/>
        <w:spacing w:lineRule="auto" w:line="36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36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36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Задание:</w:t>
      </w:r>
      <w:r>
        <w:rPr>
          <w:rFonts w:ascii="Times New Roman" w:hAnsi="Times New Roman"/>
          <w:sz w:val="28"/>
          <w:szCs w:val="28"/>
        </w:rPr>
        <w:t xml:space="preserve"> заполнить таблицу</w:t>
      </w:r>
    </w:p>
    <w:p>
      <w:pPr>
        <w:pStyle w:val="Normal"/>
        <w:spacing w:lineRule="auto" w:line="360"/>
        <w:rPr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u w:val="none"/>
        </w:rPr>
      </w:pPr>
      <w:r>
        <w:rPr>
          <w:b w:val="false"/>
          <w:i w:val="false"/>
          <w:caps w:val="false"/>
          <w:smallCaps w:val="false"/>
          <w:color w:val="000000"/>
          <w:spacing w:val="0"/>
          <w:u w:val="none"/>
        </w:rPr>
      </w:r>
    </w:p>
    <w:tbl>
      <w:tblPr>
        <w:tblW w:w="10188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0"/>
        <w:gridCol w:w="4747"/>
      </w:tblGrid>
      <w:tr>
        <w:trPr/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jc w:val="center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Назначение АСУТП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jc w:val="center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Функции АСУТП и области применение</w:t>
            </w:r>
          </w:p>
        </w:tc>
      </w:tr>
      <w:tr>
        <w:trPr/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технологическим процессом (ЭВМ управляет оборудованием)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параметров технологического процесса (ЭВМ собирает и обрабатывает информацию; управляет процессом оператор)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Диагностика и контроль продукции (ЭВМ собирает и обрабатывает измерительную информацию)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складским хозяйством (ЭВМ ведет сбор и учет информации)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транспортировкой грузов и пассажиров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пожарной и охранной сигнализации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"/>
        <w:numPr>
          <w:ilvl w:val="0"/>
          <w:numId w:val="0"/>
        </w:numPr>
        <w:ind w:left="1069" w:hanging="0"/>
        <w:rPr/>
      </w:pPr>
      <w:bookmarkStart w:id="1" w:name="_Неотъемлемой_составляющей_развития"/>
      <w:bookmarkEnd w:id="1"/>
      <w:r>
        <w:rPr/>
        <w:t>Список использованной литературы</w:t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1 Благовещенская М.М. Информационные технологии систем управления</w:t>
      </w:r>
    </w:p>
    <w:p>
      <w:pPr>
        <w:pStyle w:val="Normal"/>
        <w:widowControl/>
        <w:spacing w:lineRule="auto" w:line="360"/>
        <w:ind w:left="0" w:right="0" w:hanging="0"/>
        <w:jc w:val="left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технологическими процессами .-М.: Высшая школа 2005.</w:t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2 Рачков М.Ю. Технические средства автоматизации. Учебник- М.: МГИУ,2006.-185с.</w:t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r>
    </w:p>
    <w:p>
      <w:pPr>
        <w:pStyle w:val="Normal"/>
        <w:spacing w:lineRule="auto" w:line="360"/>
        <w:jc w:val="both"/>
        <w:rPr/>
      </w:pPr>
      <w:r>
        <w:rPr/>
      </w:r>
    </w:p>
    <w:sectPr>
      <w:footerReference w:type="default" r:id="rId2"/>
      <w:footnotePr>
        <w:numFmt w:val="decimal"/>
      </w:footnotePr>
      <w:type w:val="nextPage"/>
      <w:pgSz w:w="11906" w:h="16838"/>
      <w:pgMar w:left="1135" w:right="850" w:gutter="0" w:header="0" w:top="820" w:footer="708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Symbol">
    <w:charset w:val="cc"/>
    <w:family w:val="roman"/>
    <w:pitch w:val="variable"/>
  </w:font>
  <w:font w:name="Courier New">
    <w:charset w:val="cc"/>
    <w:family w:val="roman"/>
    <w:pitch w:val="variable"/>
  </w:font>
  <w:font w:name="Wingdings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63490299"/>
    </w:sdtPr>
    <w:sdtContent>
      <w:p>
        <w:pPr>
          <w:pStyle w:val="Style30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cs="Times New Roman"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cs="Times New Roman" w:ascii="Times New Roman" w:hAnsi="Times New Roman"/>
          </w:rPr>
          <w:instrText xml:space="preserve"> PAGE </w:instrText>
        </w:r>
        <w:r>
          <w:rPr>
            <w:sz w:val="24"/>
            <w:szCs w:val="24"/>
            <w:rFonts w:cs="Times New Roman" w:ascii="Times New Roman" w:hAnsi="Times New Roman"/>
          </w:rPr>
          <w:fldChar w:fldCharType="separate"/>
        </w:r>
        <w:r>
          <w:rPr>
            <w:sz w:val="24"/>
            <w:szCs w:val="24"/>
            <w:rFonts w:cs="Times New Roman" w:ascii="Times New Roman" w:hAnsi="Times New Roman"/>
          </w:rPr>
          <w:t>3</w:t>
        </w:r>
        <w:r>
          <w:rPr>
            <w:sz w:val="24"/>
            <w:szCs w:val="24"/>
            <w:rFonts w:cs="Times New Roman" w:ascii="Times New Roman" w:hAnsi="Times New Roman"/>
          </w:rPr>
          <w:fldChar w:fldCharType="end"/>
        </w:r>
      </w:p>
    </w:sdtContent>
  </w:sdt>
  <w:p>
    <w:pPr>
      <w:pStyle w:val="Style30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27"/>
        <w:rPr/>
      </w:pPr>
      <w:r>
        <w:rPr>
          <w:rStyle w:val="Style19"/>
        </w:rPr>
        <w:footnoteRef/>
      </w:r>
      <w:r>
        <w:rPr/>
        <w:t xml:space="preserve"> 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Рачков М.Ю. Технические средства автоматизации. Учебник- М.: МГИУ,2006.-185с.</w:t>
      </w:r>
    </w:p>
  </w:footnote>
</w:footnotes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012fe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7012fe"/>
    <w:pPr>
      <w:jc w:val="center"/>
      <w:outlineLvl w:val="0"/>
    </w:pPr>
    <w:rPr>
      <w:rFonts w:ascii="Times New Roman" w:hAnsi="Times New Roman" w:eastAsia="Times New Roman" w:cs="Times New Roman"/>
      <w:b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sid w:val="007012fe"/>
    <w:rPr>
      <w:rFonts w:ascii="Times New Roman" w:hAnsi="Times New Roman" w:eastAsia="Times New Roman" w:cs="Times New Roman"/>
      <w:b/>
      <w:sz w:val="32"/>
      <w:szCs w:val="32"/>
    </w:rPr>
  </w:style>
  <w:style w:type="character" w:styleId="Style13" w:customStyle="1">
    <w:name w:val="Текст сноски Знак"/>
    <w:basedOn w:val="DefaultParagraphFont"/>
    <w:uiPriority w:val="99"/>
    <w:semiHidden/>
    <w:qFormat/>
    <w:rsid w:val="007012fe"/>
    <w:rPr>
      <w:sz w:val="20"/>
      <w:szCs w:val="20"/>
    </w:rPr>
  </w:style>
  <w:style w:type="character" w:styleId="Style14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7012fe"/>
    <w:rPr>
      <w:vertAlign w:val="superscript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7012fe"/>
    <w:rPr>
      <w:rFonts w:ascii="Segoe UI" w:hAnsi="Segoe UI" w:cs="Segoe UI"/>
      <w:sz w:val="18"/>
      <w:szCs w:val="18"/>
    </w:rPr>
  </w:style>
  <w:style w:type="character" w:styleId="Style16">
    <w:name w:val="Hyperlink"/>
    <w:basedOn w:val="DefaultParagraphFont"/>
    <w:uiPriority w:val="99"/>
    <w:unhideWhenUsed/>
    <w:rsid w:val="00e83d33"/>
    <w:rPr>
      <w:color w:val="0563C1" w:themeColor="hyperlink"/>
      <w:u w:val="single"/>
    </w:rPr>
  </w:style>
  <w:style w:type="character" w:styleId="Style17" w:customStyle="1">
    <w:name w:val="Верхний колонтитул Знак"/>
    <w:basedOn w:val="DefaultParagraphFont"/>
    <w:uiPriority w:val="99"/>
    <w:qFormat/>
    <w:rsid w:val="00515c78"/>
    <w:rPr/>
  </w:style>
  <w:style w:type="character" w:styleId="Style18" w:customStyle="1">
    <w:name w:val="Нижний колонтитул Знак"/>
    <w:basedOn w:val="DefaultParagraphFont"/>
    <w:uiPriority w:val="99"/>
    <w:qFormat/>
    <w:rsid w:val="00515c78"/>
    <w:rPr/>
  </w:style>
  <w:style w:type="character" w:styleId="Style19">
    <w:name w:val="Символ сноски"/>
    <w:qFormat/>
    <w:rPr/>
  </w:style>
  <w:style w:type="character" w:styleId="Strong">
    <w:name w:val="Strong"/>
    <w:qFormat/>
    <w:rPr>
      <w:b/>
      <w:bCs/>
    </w:rPr>
  </w:style>
  <w:style w:type="character" w:styleId="Style20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Style21">
    <w:name w:val="Символ концевой сноски"/>
    <w:qFormat/>
    <w:rPr/>
  </w:style>
  <w:style w:type="character" w:styleId="WW8Num2z0">
    <w:name w:val="WW8Num2z0"/>
    <w:qFormat/>
    <w:rPr>
      <w:rFonts w:ascii="Symbol" w:hAnsi="Symbol" w:cs="Symbol"/>
      <w:color w:val="000000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1z0">
    <w:name w:val="WW8Num1z0"/>
    <w:qFormat/>
    <w:rPr>
      <w:rFonts w:ascii="Symbol" w:hAnsi="Symbol" w:cs="Symbol"/>
      <w:color w:val="000000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1z3">
    <w:name w:val="WW8Num1z3"/>
    <w:qFormat/>
    <w:rPr>
      <w:rFonts w:ascii="Symbol" w:hAnsi="Symbol" w:cs="Symbol"/>
    </w:rPr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3">
    <w:name w:val="Body Text"/>
    <w:basedOn w:val="Normal"/>
    <w:pPr>
      <w:spacing w:lineRule="auto" w:line="276" w:before="0" w:after="140"/>
    </w:pPr>
    <w:rPr/>
  </w:style>
  <w:style w:type="paragraph" w:styleId="Style24">
    <w:name w:val="List"/>
    <w:basedOn w:val="Style23"/>
    <w:pPr/>
    <w:rPr>
      <w:rFonts w:cs="Lucida Sans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oSpacing">
    <w:name w:val="No Spacing"/>
    <w:basedOn w:val="Normal"/>
    <w:uiPriority w:val="1"/>
    <w:qFormat/>
    <w:rsid w:val="007012fe"/>
    <w:pPr>
      <w:spacing w:lineRule="auto" w:line="360"/>
      <w:ind w:firstLine="709"/>
      <w:jc w:val="both"/>
    </w:pPr>
    <w:rPr>
      <w:rFonts w:ascii="Times New Roman" w:hAnsi="Times New Roman" w:eastAsia="Times New Roman" w:cs="Times New Roman"/>
      <w:sz w:val="28"/>
      <w:szCs w:val="24"/>
    </w:rPr>
  </w:style>
  <w:style w:type="paragraph" w:styleId="Style27">
    <w:name w:val="Footnote Text"/>
    <w:basedOn w:val="Normal"/>
    <w:link w:val="Style13"/>
    <w:uiPriority w:val="99"/>
    <w:semiHidden/>
    <w:unhideWhenUsed/>
    <w:rsid w:val="007012fe"/>
    <w:pPr/>
    <w:rPr>
      <w:sz w:val="20"/>
      <w:szCs w:val="20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7012fe"/>
    <w:pPr/>
    <w:rPr>
      <w:rFonts w:ascii="Segoe UI" w:hAnsi="Segoe UI" w:cs="Segoe UI"/>
      <w:sz w:val="18"/>
      <w:szCs w:val="18"/>
    </w:rPr>
  </w:style>
  <w:style w:type="paragraph" w:styleId="Style28">
    <w:name w:val="Колонтитул"/>
    <w:basedOn w:val="Normal"/>
    <w:qFormat/>
    <w:pPr/>
    <w:rPr/>
  </w:style>
  <w:style w:type="paragraph" w:styleId="Style29">
    <w:name w:val="Header"/>
    <w:basedOn w:val="Normal"/>
    <w:link w:val="Style17"/>
    <w:uiPriority w:val="99"/>
    <w:unhideWhenUsed/>
    <w:rsid w:val="00515c7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0">
    <w:name w:val="Footer"/>
    <w:basedOn w:val="Normal"/>
    <w:link w:val="Style18"/>
    <w:uiPriority w:val="99"/>
    <w:unhideWhenUsed/>
    <w:rsid w:val="00515c7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1">
    <w:name w:val="Endnote Text"/>
    <w:basedOn w:val="Normal"/>
    <w:pPr>
      <w:suppressLineNumbers/>
      <w:ind w:left="340" w:hanging="34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WW8Num2">
    <w:name w:val="WW8Num2"/>
    <w:qFormat/>
  </w:style>
  <w:style w:type="numbering" w:styleId="WW8Num1">
    <w:name w:val="WW8Num1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notes" Target="footnot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B1BDC-8A92-4232-884F-D230C5E66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Application>LibreOffice/7.4.0.3$Windows_X86_64 LibreOffice_project/f85e47c08ddd19c015c0114a68350214f7066f5a</Application>
  <AppVersion>15.0000</AppVersion>
  <Pages>3</Pages>
  <Words>346</Words>
  <Characters>2686</Characters>
  <CharactersWithSpaces>3010</CharactersWithSpaces>
  <Paragraphs>26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2022-09-22T15:02:00Z</dcterms:created>
  <dc:creator>Веселов Веселов</dc:creator>
  <dc:description/>
  <dc:language>ru-RU</dc:language>
  <cp:lastModifiedBy/>
  <dcterms:modified xsi:type="dcterms:W3CDTF">2022-11-13T14:50:15Z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